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66031B34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9F5" w:rsidRPr="00817B2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C629F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di LSP </w:t>
            </w:r>
            <w:r w:rsidR="00266C0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266C0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266C0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60A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D260A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52A7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C52A7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C52A7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7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C52A7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7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C52A7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7D3A5AC8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7073F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A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C629F5" w:rsidRPr="00817B2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9F5" w:rsidRPr="00817B2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termasuk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Rekognisi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Pembelajaran</w:t>
            </w:r>
            <w:proofErr w:type="spellEnd"/>
            <w:r w:rsidR="00B46A5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Lampau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(RPL), di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dalam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sistem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berbasis</w:t>
            </w:r>
            <w:proofErr w:type="spellEnd"/>
            <w:r w:rsid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  <w:r w:rsidR="00831AB4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266C0A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4A65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5A4A65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5A4A65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4A65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5A4A65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5A4A65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5A4A65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5C61">
              <w:rPr>
                <w:rFonts w:ascii="Book Antiqua" w:hAnsi="Book Antiqua" w:cs="Arial"/>
                <w:sz w:val="20"/>
                <w:szCs w:val="20"/>
                <w:lang w:val="en-US"/>
              </w:rPr>
              <w:t>penetapan</w:t>
            </w:r>
            <w:proofErr w:type="spellEnd"/>
            <w:r w:rsidR="00C52A72" w:rsidRPr="00C52A7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3A5C61">
              <w:rPr>
                <w:rFonts w:ascii="Book Antiqua" w:hAnsi="Book Antiqua" w:cs="Arial"/>
                <w:sz w:val="20"/>
                <w:szCs w:val="20"/>
                <w:lang w:val="en-US"/>
              </w:rPr>
              <w:t>pemeliharaan</w:t>
            </w:r>
            <w:proofErr w:type="spellEnd"/>
            <w:r w:rsidR="00C52A72" w:rsidRPr="00C52A7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72" w:rsidRPr="00C52A72">
              <w:rPr>
                <w:rFonts w:ascii="Book Antiqua" w:hAnsi="Book Antiqua" w:cs="Arial"/>
                <w:sz w:val="20"/>
                <w:szCs w:val="20"/>
                <w:lang w:val="en-US"/>
              </w:rPr>
              <w:t>lingkungan</w:t>
            </w:r>
            <w:proofErr w:type="spellEnd"/>
            <w:r w:rsidR="00C52A72" w:rsidRPr="00C52A7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72" w:rsidRPr="00C52A72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C52A7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5C61">
              <w:rPr>
                <w:rFonts w:ascii="Book Antiqua" w:hAnsi="Book Antiqua" w:cs="Arial"/>
                <w:sz w:val="20"/>
                <w:szCs w:val="20"/>
                <w:lang w:val="en-US"/>
              </w:rPr>
              <w:t>peninjauan</w:t>
            </w:r>
            <w:proofErr w:type="spellEnd"/>
            <w:r w:rsidR="003816C0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</w:t>
            </w:r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59428710" w:rsidR="005659DE" w:rsidRPr="00960960" w:rsidRDefault="00011740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0C159399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A80DA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80DA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A80DA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E7ED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2014</w:t>
            </w:r>
            <w:r w:rsidR="00A80DA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dan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PBNSP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301</w:t>
            </w:r>
            <w:r w:rsidR="00C857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57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C857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32503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32503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817B2B" w:rsidRPr="00817B2B">
              <w:rPr>
                <w:rFonts w:ascii="Book Antiqua" w:hAnsi="Book Antiqua" w:cs="Arial"/>
                <w:color w:val="000000"/>
                <w:sz w:val="20"/>
                <w:szCs w:val="20"/>
              </w:rPr>
              <w:t>M.74SPS03.090.1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817B2B" w:rsidRPr="00817B2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Melaksanakan</w:t>
            </w:r>
            <w:proofErr w:type="spellEnd"/>
            <w:r w:rsidR="00817B2B" w:rsidRPr="00817B2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4AB6FD14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AF12D2" w14:textId="77777777" w:rsidR="00817B2B" w:rsidRDefault="00817B2B" w:rsidP="00817B2B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Menetapkan</w:t>
            </w:r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dan memelihara lingkungan asesmen</w:t>
            </w:r>
          </w:p>
          <w:p w14:paraId="17AB7AE6" w14:textId="77777777" w:rsidR="00817B2B" w:rsidRDefault="00817B2B" w:rsidP="00817B2B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14564727" w14:textId="0871FAB4" w:rsidR="006B2A07" w:rsidRPr="00817B2B" w:rsidRDefault="005659DE" w:rsidP="00817B2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7B2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A0BF0CE" w14:textId="528C234F" w:rsidR="00817B2B" w:rsidRPr="00817B2B" w:rsidRDefault="009F036A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7B2B">
              <w:rPr>
                <w:rFonts w:ascii="Book Antiqua" w:hAnsi="Book Antiqua" w:cs="Arial"/>
              </w:rPr>
              <w:t>Interpretasi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Rencana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,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kemudian</w:t>
            </w:r>
            <w:proofErr w:type="spellEnd"/>
            <w:r w:rsidR="00FB4228">
              <w:rPr>
                <w:rFonts w:ascii="Book Antiqua" w:hAnsi="Book Antiqua" w:cs="Arial"/>
              </w:rPr>
              <w:t xml:space="preserve"> </w:t>
            </w:r>
            <w:proofErr w:type="spellStart"/>
            <w:r w:rsidR="003D2572">
              <w:rPr>
                <w:rFonts w:ascii="Book Antiqua" w:hAnsi="Book Antiqua" w:cs="Arial"/>
              </w:rPr>
              <w:t>konfirmasikan</w:t>
            </w:r>
            <w:proofErr w:type="spellEnd"/>
            <w:r w:rsidR="003D2572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kebijakan</w:t>
            </w:r>
            <w:proofErr w:type="spellEnd"/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</w:rPr>
              <w:t xml:space="preserve">dan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prosedur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sistem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serta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persyaratan</w:t>
            </w:r>
            <w:proofErr w:type="spellEnd"/>
            <w:r w:rsid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organisasi</w:t>
            </w:r>
            <w:proofErr w:type="spellEnd"/>
            <w:r w:rsidR="00817B2B" w:rsidRPr="00817B2B">
              <w:rPr>
                <w:rFonts w:ascii="Book Antiqua" w:hAnsi="Book Antiqua" w:cs="Arial"/>
              </w:rPr>
              <w:t>/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hukum</w:t>
            </w:r>
            <w:proofErr w:type="spellEnd"/>
            <w:r w:rsidR="00817B2B" w:rsidRPr="00817B2B">
              <w:rPr>
                <w:rFonts w:ascii="Book Antiqua" w:hAnsi="Book Antiqua" w:cs="Arial"/>
              </w:rPr>
              <w:t>/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etika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pelaksanaan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dengan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orang yang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relevan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>.</w:t>
            </w:r>
          </w:p>
          <w:p w14:paraId="0721B727" w14:textId="6883FEDB" w:rsidR="00817B2B" w:rsidRPr="00817B2B" w:rsidRDefault="00920288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Akses dan </w:t>
            </w:r>
            <w:proofErr w:type="spellStart"/>
            <w:r>
              <w:rPr>
                <w:rFonts w:ascii="Book Antiqua" w:hAnsi="Book Antiqua" w:cs="Arial"/>
              </w:rPr>
              <w:t>interpretasi</w:t>
            </w:r>
            <w:proofErr w:type="spellEnd"/>
            <w:r w:rsid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Acuan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pembanding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relevan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perangkat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r w:rsidR="00AD2033">
              <w:rPr>
                <w:rFonts w:ascii="Book Antiqua" w:hAnsi="Book Antiqua" w:cs="Arial"/>
              </w:rPr>
              <w:t xml:space="preserve">yang </w:t>
            </w:r>
            <w:proofErr w:type="spellStart"/>
            <w:r w:rsidR="00AD2033">
              <w:rPr>
                <w:rFonts w:ascii="Book Antiqua" w:hAnsi="Book Antiqua" w:cs="Arial"/>
              </w:rPr>
              <w:t>akan</w:t>
            </w:r>
            <w:proofErr w:type="spellEnd"/>
            <w:r w:rsidR="00AD2033">
              <w:rPr>
                <w:rFonts w:ascii="Book Antiqua" w:hAnsi="Book Antiqua" w:cs="Arial"/>
              </w:rPr>
              <w:t xml:space="preserve"> </w:t>
            </w:r>
            <w:proofErr w:type="spellStart"/>
            <w:r w:rsidR="00AD2033">
              <w:rPr>
                <w:rFonts w:ascii="Book Antiqua" w:hAnsi="Book Antiqua" w:cs="Arial"/>
              </w:rPr>
              <w:t>digunakan</w:t>
            </w:r>
            <w:proofErr w:type="spellEnd"/>
            <w:r w:rsidR="00AD2033">
              <w:rPr>
                <w:rFonts w:ascii="Book Antiqua" w:hAnsi="Book Antiqua" w:cs="Arial"/>
              </w:rPr>
              <w:t xml:space="preserve"> </w:t>
            </w:r>
            <w:proofErr w:type="spellStart"/>
            <w:r w:rsidR="00AD2033">
              <w:rPr>
                <w:rFonts w:ascii="Book Antiqua" w:hAnsi="Book Antiqua" w:cs="Arial"/>
              </w:rPr>
              <w:t>guna</w:t>
            </w:r>
            <w:proofErr w:type="spellEnd"/>
            <w:r w:rsidR="00A47F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memastikan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bukti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cara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pengumpulan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bukti</w:t>
            </w:r>
            <w:proofErr w:type="spellEnd"/>
            <w:r w:rsidR="00817B2B" w:rsidRPr="00817B2B">
              <w:rPr>
                <w:rFonts w:ascii="Book Antiqua" w:hAnsi="Book Antiqua" w:cs="Arial"/>
              </w:rPr>
              <w:t>.</w:t>
            </w:r>
          </w:p>
          <w:p w14:paraId="337BFC01" w14:textId="7B58CE1D" w:rsidR="00817B2B" w:rsidRPr="00817B2B" w:rsidRDefault="009F036A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7B2B">
              <w:rPr>
                <w:rFonts w:ascii="Book Antiqua" w:hAnsi="Book Antiqua" w:cs="Arial"/>
              </w:rPr>
              <w:t>Jelaskan</w:t>
            </w:r>
            <w:proofErr w:type="spellEnd"/>
            <w:r w:rsidR="00195A81">
              <w:rPr>
                <w:rFonts w:ascii="Book Antiqua" w:hAnsi="Book Antiqua" w:cs="Arial"/>
              </w:rPr>
              <w:t xml:space="preserve">, </w:t>
            </w:r>
            <w:proofErr w:type="spellStart"/>
            <w:r w:rsidR="00195A81">
              <w:rPr>
                <w:rFonts w:ascii="Book Antiqua" w:hAnsi="Book Antiqua" w:cs="Arial"/>
              </w:rPr>
              <w:t>bahas</w:t>
            </w:r>
            <w:proofErr w:type="spellEnd"/>
            <w:r w:rsidR="00195A81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195A81">
              <w:rPr>
                <w:rFonts w:ascii="Book Antiqua" w:hAnsi="Book Antiqua" w:cs="Arial"/>
              </w:rPr>
              <w:t>klarifikasi</w:t>
            </w:r>
            <w:proofErr w:type="spellEnd"/>
            <w:r w:rsidR="00195A81">
              <w:rPr>
                <w:rFonts w:ascii="Book Antiqua" w:hAnsi="Book Antiqua" w:cs="Arial"/>
              </w:rPr>
              <w:t xml:space="preserve"> </w:t>
            </w:r>
            <w:proofErr w:type="spellStart"/>
            <w:r w:rsidR="00195A81">
              <w:rPr>
                <w:rFonts w:ascii="Book Antiqua" w:hAnsi="Book Antiqua" w:cs="Arial"/>
              </w:rPr>
              <w:t>dengan</w:t>
            </w:r>
            <w:proofErr w:type="spellEnd"/>
            <w:r w:rsidR="00195A81">
              <w:rPr>
                <w:rFonts w:ascii="Book Antiqua" w:hAnsi="Book Antiqua" w:cs="Arial"/>
              </w:rPr>
              <w:t xml:space="preserve"> </w:t>
            </w:r>
            <w:proofErr w:type="spellStart"/>
            <w:r w:rsidR="00195A81">
              <w:rPr>
                <w:rFonts w:ascii="Book Antiqua" w:hAnsi="Book Antiqua" w:cs="Arial"/>
              </w:rPr>
              <w:t>asesi</w:t>
            </w:r>
            <w:proofErr w:type="spellEnd"/>
            <w:r w:rsidR="00195A81">
              <w:rPr>
                <w:rFonts w:ascii="Book Antiqua" w:hAnsi="Book Antiqua" w:cs="Arial"/>
              </w:rPr>
              <w:t>,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Rincian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mengenai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rencana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dan proses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195A81">
              <w:rPr>
                <w:rFonts w:ascii="Book Antiqua" w:hAnsi="Book Antiqua" w:cs="Arial"/>
              </w:rPr>
              <w:t>,</w:t>
            </w:r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termasuk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kesempatan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untuk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melakukan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penyesuaian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beralasan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,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ulang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dan banding.</w:t>
            </w:r>
          </w:p>
          <w:p w14:paraId="2CAB3441" w14:textId="21086678" w:rsidR="005659DE" w:rsidRPr="00960960" w:rsidRDefault="009F036A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R</w:t>
            </w:r>
            <w:r w:rsidRPr="00817B2B">
              <w:rPr>
                <w:rFonts w:ascii="Book Antiqua" w:hAnsi="Book Antiqua" w:cs="Arial"/>
              </w:rPr>
              <w:t>undingkan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A63FBA">
              <w:rPr>
                <w:rFonts w:ascii="Book Antiqua" w:hAnsi="Book Antiqua" w:cs="Arial"/>
              </w:rPr>
              <w:t xml:space="preserve">dan </w:t>
            </w:r>
            <w:proofErr w:type="spellStart"/>
            <w:r w:rsidR="00A63FBA">
              <w:rPr>
                <w:rFonts w:ascii="Book Antiqua" w:hAnsi="Book Antiqua" w:cs="Arial"/>
              </w:rPr>
              <w:t>sepakati</w:t>
            </w:r>
            <w:proofErr w:type="spellEnd"/>
            <w:r w:rsidR="00A63FBA">
              <w:rPr>
                <w:rFonts w:ascii="Book Antiqua" w:hAnsi="Book Antiqua" w:cs="Arial"/>
              </w:rPr>
              <w:t xml:space="preserve"> </w:t>
            </w:r>
            <w:proofErr w:type="spellStart"/>
            <w:r w:rsidR="00A63FBA">
              <w:rPr>
                <w:rFonts w:ascii="Book Antiqua" w:hAnsi="Book Antiqua" w:cs="Arial"/>
              </w:rPr>
              <w:t>u</w:t>
            </w:r>
            <w:r w:rsidR="00817B2B" w:rsidRPr="00817B2B">
              <w:rPr>
                <w:rFonts w:ascii="Book Antiqua" w:hAnsi="Book Antiqua" w:cs="Arial"/>
              </w:rPr>
              <w:t>sulan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perubahan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terhadap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proses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dengan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asesi</w:t>
            </w:r>
            <w:proofErr w:type="spellEnd"/>
            <w:r w:rsidR="00817B2B" w:rsidRPr="00817B2B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684061" w14:textId="308B685C" w:rsidR="00B222BD" w:rsidRPr="00C47CAD" w:rsidRDefault="00562B44" w:rsidP="00C47CA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Formulir Rencana Asesmen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</w: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</w:t>
            </w:r>
            <w:r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MAPA-01</w:t>
            </w: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  <w:p w14:paraId="06AF2E7C" w14:textId="3F7D8587" w:rsidR="00FA3A85" w:rsidRPr="00901CCB" w:rsidRDefault="00A155E8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="00901CCB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asesmen (FR-IA.01</w:t>
            </w:r>
            <w:r w:rsidR="00901CC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901CC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 w:rsidR="00901CC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FR-IA.10</w:t>
            </w:r>
            <w:r w:rsidR="00901CCB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  <w:p w14:paraId="1264ECE6" w14:textId="36195179" w:rsidR="00901CCB" w:rsidRPr="00960960" w:rsidRDefault="00901CCB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Persetujuan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Aaesmen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Kerahasiaan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</w:t>
            </w:r>
            <w:r w:rsidR="003B149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AK</w:t>
            </w:r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4CED8332" w:rsidR="005659DE" w:rsidRPr="0058256B" w:rsidRDefault="0058256B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E22E2" w14:textId="77777777" w:rsidR="00817B2B" w:rsidRPr="00817B2B" w:rsidRDefault="00817B2B" w:rsidP="00817B2B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Mengumpulkan bukti yang berkualitas</w:t>
            </w:r>
          </w:p>
          <w:p w14:paraId="391EA708" w14:textId="77777777" w:rsidR="00817B2B" w:rsidRDefault="00817B2B" w:rsidP="00817B2B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57ECF923" w:rsidR="005659DE" w:rsidRPr="00817B2B" w:rsidRDefault="005659DE" w:rsidP="00817B2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7B2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28E55B5" w14:textId="356A3E67" w:rsidR="00817B2B" w:rsidRPr="00D37890" w:rsidRDefault="009F036A" w:rsidP="00D37890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 w:rsidRPr="00817B2B">
              <w:rPr>
                <w:rFonts w:ascii="Book Antiqua" w:hAnsi="Book Antiqua" w:cs="Arial"/>
                <w:lang w:val="id-ID"/>
              </w:rPr>
              <w:t xml:space="preserve">Ikuti </w:t>
            </w:r>
            <w:r>
              <w:rPr>
                <w:rFonts w:ascii="Book Antiqua" w:hAnsi="Book Antiqua" w:cs="Arial"/>
              </w:rPr>
              <w:t>r</w:t>
            </w:r>
            <w:r w:rsidR="00817B2B" w:rsidRPr="00817B2B">
              <w:rPr>
                <w:rFonts w:ascii="Book Antiqua" w:hAnsi="Book Antiqua" w:cs="Arial"/>
                <w:lang w:val="id-ID"/>
              </w:rPr>
              <w:t xml:space="preserve">encana asesmen sebagai panduan dalam melaksanakan asesmen, guna penentuan kompetensi, </w:t>
            </w:r>
            <w:proofErr w:type="spellStart"/>
            <w:r w:rsidR="00DC0CB6">
              <w:rPr>
                <w:rFonts w:ascii="Book Antiqua" w:hAnsi="Book Antiqua" w:cs="Arial"/>
              </w:rPr>
              <w:t>gunakan</w:t>
            </w:r>
            <w:proofErr w:type="spellEnd"/>
            <w:r w:rsidR="00DC0CB6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metode asesmen dan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perangkat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asesmen untuk</w:t>
            </w:r>
            <w:r w:rsidR="00D37890">
              <w:rPr>
                <w:rFonts w:ascii="Book Antiqua" w:hAnsi="Book Antiqua" w:cs="Arial"/>
              </w:rPr>
              <w:t xml:space="preserve"> </w:t>
            </w:r>
            <w:r w:rsidR="00817B2B" w:rsidRPr="00D37890">
              <w:rPr>
                <w:rFonts w:ascii="Book Antiqua" w:hAnsi="Book Antiqua" w:cs="Arial"/>
                <w:lang w:val="id-ID"/>
              </w:rPr>
              <w:t>mengumpulkan, mengorganisasikan</w:t>
            </w:r>
            <w:r w:rsidR="00817B2B" w:rsidRPr="00D37890">
              <w:rPr>
                <w:rFonts w:ascii="Book Antiqua" w:hAnsi="Book Antiqua" w:cs="Arial"/>
              </w:rPr>
              <w:t xml:space="preserve"> </w:t>
            </w:r>
            <w:r w:rsidR="00817B2B" w:rsidRPr="00D37890">
              <w:rPr>
                <w:rFonts w:ascii="Book Antiqua" w:hAnsi="Book Antiqua" w:cs="Arial"/>
                <w:lang w:val="id-ID"/>
              </w:rPr>
              <w:t>dan</w:t>
            </w:r>
            <w:r w:rsidR="00817B2B" w:rsidRPr="00D37890">
              <w:rPr>
                <w:rFonts w:ascii="Book Antiqua" w:hAnsi="Book Antiqua" w:cs="Arial"/>
              </w:rPr>
              <w:t xml:space="preserve"> </w:t>
            </w:r>
            <w:r w:rsidR="00817B2B" w:rsidRPr="00D37890">
              <w:rPr>
                <w:rFonts w:ascii="Book Antiqua" w:hAnsi="Book Antiqua" w:cs="Arial"/>
                <w:lang w:val="id-ID"/>
              </w:rPr>
              <w:t>mendokumentasikan bukti dalam format yang sesuai</w:t>
            </w:r>
          </w:p>
          <w:p w14:paraId="51DDB478" w14:textId="6873BA98" w:rsidR="00817B2B" w:rsidRDefault="009F036A" w:rsidP="00817B2B">
            <w:pPr>
              <w:pStyle w:val="BodyText"/>
              <w:numPr>
                <w:ilvl w:val="0"/>
                <w:numId w:val="17"/>
              </w:numPr>
              <w:spacing w:after="60"/>
              <w:ind w:left="319" w:hanging="319"/>
              <w:jc w:val="left"/>
              <w:rPr>
                <w:rFonts w:ascii="Book Antiqua" w:hAnsi="Book Antiqua" w:cs="Arial"/>
                <w:lang w:val="id-ID"/>
              </w:rPr>
            </w:pPr>
            <w:r w:rsidRPr="00817B2B">
              <w:rPr>
                <w:rFonts w:ascii="Book Antiqua" w:hAnsi="Book Antiqua" w:cs="Arial"/>
                <w:lang w:val="id-ID"/>
              </w:rPr>
              <w:lastRenderedPageBreak/>
              <w:t>Terapkan</w:t>
            </w:r>
            <w:r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Prinsip-prinsip asesmen dan aturan-aturan bukti dalam pengumpulan bukti yang berkualitas.</w:t>
            </w:r>
          </w:p>
          <w:p w14:paraId="7E47A98D" w14:textId="6ED8FD9E" w:rsidR="00817B2B" w:rsidRPr="00817B2B" w:rsidRDefault="00551E4D" w:rsidP="00817B2B">
            <w:pPr>
              <w:pStyle w:val="BodyText"/>
              <w:numPr>
                <w:ilvl w:val="0"/>
                <w:numId w:val="17"/>
              </w:numPr>
              <w:spacing w:after="60"/>
              <w:ind w:left="319" w:hanging="319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B</w:t>
            </w:r>
            <w:r w:rsidR="009F036A" w:rsidRPr="00817B2B">
              <w:rPr>
                <w:rFonts w:ascii="Book Antiqua" w:hAnsi="Book Antiqua" w:cs="Arial"/>
                <w:lang w:val="id-ID"/>
              </w:rPr>
              <w:t xml:space="preserve">ahas </w:t>
            </w:r>
            <w:r w:rsidR="009F036A">
              <w:rPr>
                <w:rFonts w:ascii="Book Antiqua" w:hAnsi="Book Antiqua" w:cs="Arial"/>
              </w:rPr>
              <w:t>k</w:t>
            </w:r>
            <w:r w:rsidR="00817B2B" w:rsidRPr="00817B2B">
              <w:rPr>
                <w:rFonts w:ascii="Book Antiqua" w:hAnsi="Book Antiqua" w:cs="Arial"/>
                <w:lang w:val="id-ID"/>
              </w:rPr>
              <w:t xml:space="preserve">ebijakan dan prosedur sistem asesmen yang teridentifikasi dan persyaratan organisasi/hukum/ etika untuk asesmen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3F9928F7" w:rsidR="005659DE" w:rsidRPr="008C7530" w:rsidRDefault="00DE5C6B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="00EB55F9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asesmen (FR-IA.01</w:t>
            </w:r>
            <w:r w:rsidR="00EB55F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B55F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 w:rsidR="00EB55F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FR-IA.10</w:t>
            </w:r>
            <w:r w:rsidR="00EB55F9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58084B37" w:rsidR="005659DE" w:rsidRPr="00564F0B" w:rsidRDefault="0058256B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14C2F" w14:textId="77777777" w:rsidR="00817B2B" w:rsidRPr="00817B2B" w:rsidRDefault="00817B2B" w:rsidP="00817B2B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Mendukung asesi</w:t>
            </w:r>
          </w:p>
          <w:p w14:paraId="218BC524" w14:textId="77777777" w:rsidR="00817B2B" w:rsidRDefault="00817B2B" w:rsidP="00817B2B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42B47F7D" w:rsidR="00DF4B92" w:rsidRPr="00817B2B" w:rsidRDefault="00DF4B92" w:rsidP="00817B2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7B2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E739AE9" w14:textId="04CAE69E" w:rsidR="00817B2B" w:rsidRPr="00817B2B" w:rsidRDefault="009F036A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</w:t>
            </w:r>
            <w:r w:rsidR="003560CD">
              <w:rPr>
                <w:rFonts w:ascii="Book Antiqua" w:hAnsi="Book Antiqua" w:cs="Arial"/>
              </w:rPr>
              <w:t>i</w:t>
            </w:r>
            <w:r>
              <w:rPr>
                <w:rFonts w:ascii="Book Antiqua" w:hAnsi="Book Antiqua" w:cs="Arial"/>
              </w:rPr>
              <w:t>mbing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Asesi</w:t>
            </w:r>
            <w:proofErr w:type="spellEnd"/>
            <w:r w:rsid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dalam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pengumpulan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bukti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guna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pencapaian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pengakuan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kompetensi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terkini</w:t>
            </w:r>
            <w:proofErr w:type="spellEnd"/>
            <w:r w:rsidR="00817B2B" w:rsidRPr="00817B2B">
              <w:rPr>
                <w:rFonts w:ascii="Book Antiqua" w:hAnsi="Book Antiqua" w:cs="Arial"/>
              </w:rPr>
              <w:t>.</w:t>
            </w:r>
          </w:p>
          <w:p w14:paraId="2589B873" w14:textId="246D5E49" w:rsidR="00817B2B" w:rsidRPr="00573DA0" w:rsidRDefault="009F036A" w:rsidP="00573DA0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7B2B">
              <w:rPr>
                <w:rFonts w:ascii="Book Antiqua" w:hAnsi="Book Antiqua" w:cs="Arial"/>
              </w:rPr>
              <w:t>Gunakan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Komunikasi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sesuai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keterampilan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</w:rPr>
              <w:t xml:space="preserve">interpersonal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untuk</w:t>
            </w:r>
            <w:proofErr w:type="spellEnd"/>
            <w:r w:rsid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mengembangkan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hubungan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profesional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dengan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asesi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,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yakni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hubungan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merefleksikan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kepekaan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terhadap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perbedaan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individu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memungkinkan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terjadinya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umpan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balik</w:t>
            </w:r>
            <w:proofErr w:type="spellEnd"/>
            <w:r w:rsidR="00817B2B" w:rsidRPr="00573DA0">
              <w:rPr>
                <w:rFonts w:ascii="Book Antiqua" w:hAnsi="Book Antiqua" w:cs="Arial"/>
              </w:rPr>
              <w:t xml:space="preserve"> dua </w:t>
            </w:r>
            <w:proofErr w:type="spellStart"/>
            <w:r w:rsidR="00817B2B" w:rsidRPr="00573DA0">
              <w:rPr>
                <w:rFonts w:ascii="Book Antiqua" w:hAnsi="Book Antiqua" w:cs="Arial"/>
              </w:rPr>
              <w:t>arah</w:t>
            </w:r>
            <w:proofErr w:type="spellEnd"/>
            <w:r w:rsidR="00817B2B" w:rsidRPr="00573DA0">
              <w:rPr>
                <w:rFonts w:ascii="Book Antiqua" w:hAnsi="Book Antiqua" w:cs="Arial"/>
              </w:rPr>
              <w:t>.</w:t>
            </w:r>
          </w:p>
          <w:p w14:paraId="2F75EBF8" w14:textId="4F5CB0CB" w:rsidR="00817B2B" w:rsidRPr="00817B2B" w:rsidRDefault="0056197C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="00817B2B" w:rsidRPr="00817B2B">
              <w:rPr>
                <w:rFonts w:ascii="Book Antiqua" w:hAnsi="Book Antiqua" w:cs="Arial"/>
              </w:rPr>
              <w:t>eputusan-keputusan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mengenai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penyesuaian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beralasan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berdasarkan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kebutuhan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karakteristik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bersama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asesi</w:t>
            </w:r>
            <w:proofErr w:type="spellEnd"/>
            <w:r w:rsidR="00817B2B" w:rsidRPr="00817B2B">
              <w:rPr>
                <w:rFonts w:ascii="Book Antiqua" w:hAnsi="Book Antiqua" w:cs="Arial"/>
              </w:rPr>
              <w:t>.</w:t>
            </w:r>
          </w:p>
          <w:p w14:paraId="6B549506" w14:textId="0173C074" w:rsidR="009F036A" w:rsidRPr="009F036A" w:rsidRDefault="00D94585" w:rsidP="009F036A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</w:t>
            </w:r>
            <w:r w:rsidR="00817B2B" w:rsidRPr="009F036A">
              <w:rPr>
                <w:rFonts w:ascii="Book Antiqua" w:hAnsi="Book Antiqua" w:cs="Arial"/>
              </w:rPr>
              <w:t>enyesuaian-penyesuaian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beralasan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sedemikian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sehingga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dapat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mempertahankan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integritas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standar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kompetensi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relevan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memungkinkan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prinsip-prinsip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aturan</w:t>
            </w:r>
            <w:proofErr w:type="spellEnd"/>
            <w:r w:rsidR="00817B2B" w:rsidRPr="009F036A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9F036A">
              <w:rPr>
                <w:rFonts w:ascii="Book Antiqua" w:hAnsi="Book Antiqua" w:cs="Arial"/>
              </w:rPr>
              <w:t>bukti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dapat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dit</w:t>
            </w:r>
            <w:r w:rsidRPr="00817B2B">
              <w:rPr>
                <w:rFonts w:ascii="Book Antiqua" w:hAnsi="Book Antiqua" w:cs="Arial"/>
              </w:rPr>
              <w:t>erapkan</w:t>
            </w:r>
            <w:proofErr w:type="spellEnd"/>
            <w:r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Pr="00817B2B">
              <w:rPr>
                <w:rFonts w:ascii="Book Antiqua" w:hAnsi="Book Antiqua" w:cs="Arial"/>
              </w:rPr>
              <w:t>secara</w:t>
            </w:r>
            <w:proofErr w:type="spellEnd"/>
            <w:r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Pr="00817B2B">
              <w:rPr>
                <w:rFonts w:ascii="Book Antiqua" w:hAnsi="Book Antiqua" w:cs="Arial"/>
              </w:rPr>
              <w:t>berimbang</w:t>
            </w:r>
            <w:proofErr w:type="spellEnd"/>
          </w:p>
          <w:p w14:paraId="6FAFB7B5" w14:textId="7CBC7B67" w:rsidR="005659DE" w:rsidRPr="00817B2B" w:rsidRDefault="009F036A" w:rsidP="009F036A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Akses </w:t>
            </w:r>
            <w:proofErr w:type="spellStart"/>
            <w:r w:rsidR="002D4570">
              <w:rPr>
                <w:rFonts w:ascii="Book Antiqua" w:hAnsi="Book Antiqua" w:cs="Arial"/>
              </w:rPr>
              <w:t>d</w:t>
            </w:r>
            <w:r w:rsidR="00817B2B" w:rsidRPr="00817B2B">
              <w:rPr>
                <w:rFonts w:ascii="Book Antiqua" w:hAnsi="Book Antiqua" w:cs="Arial"/>
              </w:rPr>
              <w:t>ukungan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spesialis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sesuai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rencana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  <w:proofErr w:type="spellStart"/>
            <w:r w:rsidR="00817B2B" w:rsidRPr="00817B2B">
              <w:rPr>
                <w:rFonts w:ascii="Book Antiqua" w:hAnsi="Book Antiqua" w:cs="Arial"/>
              </w:rPr>
              <w:t>asesmen</w:t>
            </w:r>
            <w:proofErr w:type="spellEnd"/>
            <w:r w:rsidR="00817B2B" w:rsidRPr="00817B2B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3680C411" w:rsidR="00DD3F17" w:rsidRPr="002C29EE" w:rsidRDefault="002416F4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3134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r w:rsidR="00A2408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</w:t>
            </w:r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sesmen (FR-IA.01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FR-IA.10</w:t>
            </w:r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6A99DA28" w:rsidR="005659DE" w:rsidRPr="00FB4F86" w:rsidRDefault="00FB4F86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7AEDA" w14:textId="27F30632" w:rsidR="00817B2B" w:rsidRPr="00817B2B" w:rsidRDefault="00817B2B" w:rsidP="00817B2B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817B2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Membuat</w:t>
            </w:r>
            <w:proofErr w:type="spellEnd"/>
            <w:r w:rsidR="00F2752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B2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keputusan</w:t>
            </w:r>
            <w:proofErr w:type="spellEnd"/>
            <w:r w:rsidRPr="00817B2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B2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asesmen</w:t>
            </w:r>
            <w:proofErr w:type="spellEnd"/>
          </w:p>
          <w:p w14:paraId="41459864" w14:textId="77777777" w:rsidR="00817B2B" w:rsidRDefault="00817B2B" w:rsidP="00817B2B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039B9574" w14:textId="135BBBF0" w:rsidR="00F86D99" w:rsidRPr="00817B2B" w:rsidRDefault="00F86D99" w:rsidP="00817B2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7B2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FC4B0EE" w14:textId="00F1742F" w:rsidR="00817B2B" w:rsidRDefault="009F036A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 w:rsidRPr="00817B2B">
              <w:rPr>
                <w:rFonts w:ascii="Book Antiqua" w:hAnsi="Book Antiqua" w:cs="Arial"/>
                <w:lang w:val="id-ID"/>
              </w:rPr>
              <w:t>Identifikasi</w:t>
            </w:r>
            <w:r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Keterbatasan perolehan dan evaluasi bukti yang berkualitas dan bila perlu minta arahan dari orang yang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relevan.</w:t>
            </w:r>
          </w:p>
          <w:p w14:paraId="26B4444B" w14:textId="24B928A8" w:rsidR="00817B2B" w:rsidRDefault="00C53BD0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Periksa</w:t>
            </w:r>
            <w:proofErr w:type="spellEnd"/>
            <w:r>
              <w:rPr>
                <w:rFonts w:ascii="Book Antiqua" w:hAnsi="Book Antiqua" w:cs="Arial"/>
              </w:rPr>
              <w:t xml:space="preserve"> dan </w:t>
            </w:r>
            <w:r w:rsidR="009F036A" w:rsidRPr="00817B2B">
              <w:rPr>
                <w:rFonts w:ascii="Book Antiqua" w:hAnsi="Book Antiqua" w:cs="Arial"/>
                <w:lang w:val="id-ID"/>
              </w:rPr>
              <w:t>evaluasi</w:t>
            </w:r>
            <w:r w:rsidR="009F036A"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</w:rPr>
              <w:t>b</w:t>
            </w:r>
            <w:r w:rsidR="00817B2B" w:rsidRPr="00817B2B">
              <w:rPr>
                <w:rFonts w:ascii="Book Antiqua" w:hAnsi="Book Antiqua" w:cs="Arial"/>
                <w:lang w:val="id-ID"/>
              </w:rPr>
              <w:t>ukti yang telah terkumpul untuk memastikan bahwa bukti tersebut dapat merefleksikan bukti yang diperlukan dalam memperlihatkan</w:t>
            </w:r>
            <w:r w:rsidR="00817B2B" w:rsidRP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kompetensi mencakup seluruh bagian komponen standar kompetensi yang</w:t>
            </w:r>
            <w:r w:rsidR="00817B2B" w:rsidRP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dijadikan</w:t>
            </w:r>
            <w:r w:rsidR="00817B2B" w:rsidRP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acuan pembanding asesmen dan</w:t>
            </w:r>
            <w:r w:rsidR="00817B2B" w:rsidRP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dimensi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kompetensi, memperhatikan dokumentasi terkait lainnya dan memenuhi aturan bukti.</w:t>
            </w:r>
          </w:p>
          <w:p w14:paraId="1DCCE131" w14:textId="767D0184" w:rsidR="00817B2B" w:rsidRPr="00817B2B" w:rsidRDefault="009F036A" w:rsidP="00817B2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 w:rsidRPr="00817B2B">
              <w:rPr>
                <w:rFonts w:ascii="Book Antiqua" w:hAnsi="Book Antiqua" w:cs="Arial"/>
                <w:lang w:val="id-ID"/>
              </w:rPr>
              <w:t>Gunakan</w:t>
            </w:r>
            <w:r>
              <w:rPr>
                <w:rFonts w:ascii="Book Antiqua" w:hAnsi="Book Antiqua" w:cs="Arial"/>
              </w:rPr>
              <w:t xml:space="preserve"> p</w:t>
            </w:r>
            <w:r w:rsidR="00817B2B" w:rsidRPr="00817B2B">
              <w:rPr>
                <w:rFonts w:ascii="Book Antiqua" w:hAnsi="Book Antiqua" w:cs="Arial"/>
                <w:lang w:val="id-ID"/>
              </w:rPr>
              <w:t>ertimbangan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berdasarkan prinsip asesmen dan aturan bukti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untuk memutuskan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pencapaian kompetensi</w:t>
            </w:r>
            <w:r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yang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telah didemonstrasikan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asesi berdasarkan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bukti</w:t>
            </w:r>
            <w:r w:rsidR="00817B2B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yang dikumpulkan.</w:t>
            </w:r>
          </w:p>
          <w:p w14:paraId="4C570BF9" w14:textId="7FAD4CCA" w:rsidR="006101CB" w:rsidRDefault="009F036A" w:rsidP="006101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 w:rsidRPr="00817B2B">
              <w:rPr>
                <w:rFonts w:ascii="Book Antiqua" w:hAnsi="Book Antiqua" w:cs="Arial"/>
                <w:lang w:val="id-ID"/>
              </w:rPr>
              <w:t>Gunakan</w:t>
            </w:r>
            <w:r w:rsidR="00817B2B" w:rsidRPr="00817B2B">
              <w:rPr>
                <w:rFonts w:ascii="Book Antiqua" w:hAnsi="Book Antiqua" w:cs="Arial"/>
                <w:lang w:val="id-ID"/>
              </w:rPr>
              <w:t xml:space="preserve"> kebijakan dan prosedur sistem asesmen yang relevan dan pertimbangan-pertimbangan organisasi/</w:t>
            </w:r>
            <w:r w:rsidR="00F721C3">
              <w:rPr>
                <w:rFonts w:ascii="Book Antiqua" w:hAnsi="Book Antiqua" w:cs="Arial"/>
              </w:rPr>
              <w:t xml:space="preserve"> </w:t>
            </w:r>
            <w:r w:rsidR="00817B2B" w:rsidRPr="00817B2B">
              <w:rPr>
                <w:rFonts w:ascii="Book Antiqua" w:hAnsi="Book Antiqua" w:cs="Arial"/>
                <w:lang w:val="id-ID"/>
              </w:rPr>
              <w:t>hukum</w:t>
            </w:r>
            <w:r w:rsidR="00F721C3">
              <w:rPr>
                <w:rFonts w:ascii="Book Antiqua" w:hAnsi="Book Antiqua" w:cs="Arial"/>
              </w:rPr>
              <w:t>/</w:t>
            </w:r>
            <w:r w:rsidR="00817B2B" w:rsidRPr="00817B2B">
              <w:rPr>
                <w:rFonts w:ascii="Book Antiqua" w:hAnsi="Book Antiqua" w:cs="Arial"/>
                <w:lang w:val="id-ID"/>
              </w:rPr>
              <w:t>etika</w:t>
            </w:r>
            <w:r w:rsidR="004447AB">
              <w:rPr>
                <w:rFonts w:ascii="Book Antiqua" w:hAnsi="Book Antiqua" w:cs="Arial"/>
              </w:rPr>
              <w:t xml:space="preserve"> da</w:t>
            </w:r>
            <w:r w:rsidR="004447AB" w:rsidRPr="00817B2B">
              <w:rPr>
                <w:rFonts w:ascii="Book Antiqua" w:hAnsi="Book Antiqua" w:cs="Arial"/>
                <w:lang w:val="id-ID"/>
              </w:rPr>
              <w:t>lam</w:t>
            </w:r>
            <w:r w:rsidR="004447AB">
              <w:rPr>
                <w:rFonts w:ascii="Book Antiqua" w:hAnsi="Book Antiqua" w:cs="Arial"/>
              </w:rPr>
              <w:t xml:space="preserve"> </w:t>
            </w:r>
            <w:r w:rsidR="004447AB" w:rsidRPr="00817B2B">
              <w:rPr>
                <w:rFonts w:ascii="Book Antiqua" w:hAnsi="Book Antiqua" w:cs="Arial"/>
                <w:lang w:val="id-ID"/>
              </w:rPr>
              <w:t>membuat</w:t>
            </w:r>
            <w:r w:rsidR="004447AB">
              <w:rPr>
                <w:rFonts w:ascii="Book Antiqua" w:hAnsi="Book Antiqua" w:cs="Arial"/>
              </w:rPr>
              <w:t xml:space="preserve"> </w:t>
            </w:r>
            <w:r w:rsidR="004447AB" w:rsidRPr="00817B2B">
              <w:rPr>
                <w:rFonts w:ascii="Book Antiqua" w:hAnsi="Book Antiqua" w:cs="Arial"/>
                <w:lang w:val="id-ID"/>
              </w:rPr>
              <w:t>keputusan asesmen</w:t>
            </w:r>
          </w:p>
          <w:p w14:paraId="64D85F5F" w14:textId="76D29772" w:rsidR="00817B2B" w:rsidRPr="006101CB" w:rsidRDefault="009F036A" w:rsidP="006101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 w:rsidRPr="006101CB">
              <w:rPr>
                <w:rFonts w:ascii="Book Antiqua" w:hAnsi="Book Antiqua" w:cs="Arial"/>
                <w:lang w:val="id-ID"/>
              </w:rPr>
              <w:t>Berikan</w:t>
            </w:r>
            <w:r>
              <w:rPr>
                <w:rFonts w:ascii="Book Antiqua" w:hAnsi="Book Antiqua" w:cs="Arial"/>
              </w:rPr>
              <w:t xml:space="preserve"> u</w:t>
            </w:r>
            <w:r w:rsidR="00817B2B" w:rsidRPr="006101CB">
              <w:rPr>
                <w:rFonts w:ascii="Book Antiqua" w:hAnsi="Book Antiqua" w:cs="Arial"/>
                <w:lang w:val="id-ID"/>
              </w:rPr>
              <w:t>mpan balik yang jelas dan membangun terkait keputusan asesmen kepada asesi, dan bila perlu kemukakan pula rencana tindak lanjut.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A824B" w14:textId="77777777" w:rsidR="00F0319C" w:rsidRPr="00581DD3" w:rsidRDefault="00E21B3E" w:rsidP="00E21B3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Formulir Rekaman Asesmen Kompetensi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</w:t>
            </w: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FR.AK.02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  <w:p w14:paraId="47B8FF14" w14:textId="438FF072" w:rsidR="00581DD3" w:rsidRPr="00AF1D51" w:rsidRDefault="00581DD3" w:rsidP="00E21B3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Formulir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Umpan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Balik dan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Catatan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 w:rsidR="00C616B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Pr="00E26EE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</w:t>
            </w: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FR.AK.0</w:t>
            </w:r>
            <w:r w:rsidR="00431A9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3</w:t>
            </w:r>
            <w:r w:rsidRPr="00E26EE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77777777" w:rsidR="00F86D99" w:rsidRPr="00564F0B" w:rsidRDefault="00F86D99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</w:tbl>
    <w:p w14:paraId="3C9C3738" w14:textId="7AAC51AF" w:rsidR="006101CB" w:rsidRDefault="006101CB" w:rsidP="006101CB">
      <w:pPr>
        <w:spacing w:after="0" w:line="240" w:lineRule="auto"/>
        <w:ind w:left="2160" w:firstLine="720"/>
        <w:rPr>
          <w:rFonts w:ascii="Book Antiqua" w:hAnsi="Book Antiqua" w:cs="Arial"/>
          <w:sz w:val="20"/>
          <w:szCs w:val="20"/>
        </w:rPr>
      </w:pPr>
      <w:r w:rsidRPr="00960960">
        <w:rPr>
          <w:rFonts w:ascii="Book Antiqua" w:hAnsi="Book Antiqua" w:cs="Arial"/>
          <w:b/>
          <w:kern w:val="24"/>
          <w:sz w:val="20"/>
          <w:szCs w:val="20"/>
        </w:rPr>
        <w:sym w:font="Symbol" w:char="00AF"/>
      </w:r>
    </w:p>
    <w:tbl>
      <w:tblPr>
        <w:tblpPr w:leftFromText="180" w:rightFromText="180" w:vertAnchor="text" w:tblpX="-156" w:tblpY="1"/>
        <w:tblOverlap w:val="never"/>
        <w:tblW w:w="9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142"/>
        <w:gridCol w:w="1845"/>
        <w:gridCol w:w="142"/>
        <w:gridCol w:w="1693"/>
      </w:tblGrid>
      <w:tr w:rsidR="00E26EE8" w:rsidRPr="00960960" w14:paraId="58C30854" w14:textId="77777777" w:rsidTr="006101CB">
        <w:trPr>
          <w:trHeight w:val="199"/>
        </w:trPr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DBAFA" w14:textId="0FD47E5B" w:rsidR="00E26EE8" w:rsidRDefault="00E26EE8" w:rsidP="00E26EE8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  <w:proofErr w:type="spellStart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Merekam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melaporkan</w:t>
            </w:r>
            <w:proofErr w:type="spellEnd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keputusan</w:t>
            </w:r>
            <w:proofErr w:type="spellEnd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asesmen</w:t>
            </w:r>
            <w:proofErr w:type="spellEnd"/>
          </w:p>
          <w:p w14:paraId="2217D20C" w14:textId="77777777" w:rsidR="00E26EE8" w:rsidRDefault="00E26EE8" w:rsidP="00E26EE8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1DDAFD1D" w14:textId="77777777" w:rsidR="00E26EE8" w:rsidRPr="00817B2B" w:rsidRDefault="00E26EE8" w:rsidP="00E26EE8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7B2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0097FB5" w14:textId="4B165DA8" w:rsidR="00E26EE8" w:rsidRDefault="00E26EE8" w:rsidP="00E26EE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Catat h</w:t>
            </w:r>
            <w:r w:rsidRPr="006101CB">
              <w:rPr>
                <w:rFonts w:ascii="Book Antiqua" w:hAnsi="Book Antiqua" w:cs="Arial"/>
                <w:lang w:val="id-ID"/>
              </w:rPr>
              <w:t>asil asesmen segera secara akurat sesuai dengan kebijakan dan prosedur sistem asesmen</w:t>
            </w:r>
            <w:r>
              <w:rPr>
                <w:rFonts w:ascii="Book Antiqua" w:hAnsi="Book Antiqua" w:cs="Arial"/>
              </w:rPr>
              <w:t xml:space="preserve"> </w:t>
            </w:r>
            <w:r w:rsidRPr="006101CB">
              <w:rPr>
                <w:rFonts w:ascii="Book Antiqua" w:hAnsi="Book Antiqua" w:cs="Arial"/>
                <w:lang w:val="id-ID"/>
              </w:rPr>
              <w:t>serta persyaratan organisasi/hukum/etika.</w:t>
            </w:r>
          </w:p>
          <w:p w14:paraId="32F21601" w14:textId="0C2BD018" w:rsidR="00E26EE8" w:rsidRPr="009F036A" w:rsidRDefault="00337AF1" w:rsidP="00E26EE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>L</w:t>
            </w:r>
            <w:r w:rsidR="00E26EE8" w:rsidRPr="006101CB">
              <w:rPr>
                <w:rFonts w:ascii="Book Antiqua" w:hAnsi="Book Antiqua" w:cs="Arial"/>
                <w:lang w:val="id-ID"/>
              </w:rPr>
              <w:t>engkapi dan</w:t>
            </w:r>
            <w:r w:rsidR="00E26EE8">
              <w:rPr>
                <w:rFonts w:ascii="Book Antiqua" w:hAnsi="Book Antiqua" w:cs="Arial"/>
              </w:rPr>
              <w:t xml:space="preserve"> p</w:t>
            </w:r>
            <w:r w:rsidR="00E26EE8" w:rsidRPr="006101CB">
              <w:rPr>
                <w:rFonts w:ascii="Book Antiqua" w:hAnsi="Book Antiqua" w:cs="Arial"/>
                <w:lang w:val="id-ID"/>
              </w:rPr>
              <w:t xml:space="preserve">roses </w:t>
            </w:r>
            <w:r w:rsidR="00E26EE8">
              <w:rPr>
                <w:rFonts w:ascii="Book Antiqua" w:hAnsi="Book Antiqua" w:cs="Arial"/>
              </w:rPr>
              <w:t>la</w:t>
            </w:r>
            <w:r w:rsidR="00E26EE8" w:rsidRPr="009F036A">
              <w:rPr>
                <w:rFonts w:ascii="Book Antiqua" w:hAnsi="Book Antiqua" w:cs="Arial"/>
                <w:lang w:val="id-ID"/>
              </w:rPr>
              <w:t>poran asesmen sesuai dengan kebijakan dan prosedur sistem asesmen serta</w:t>
            </w:r>
            <w:r w:rsidR="00126327">
              <w:rPr>
                <w:rFonts w:ascii="Book Antiqua" w:hAnsi="Book Antiqua" w:cs="Arial"/>
              </w:rPr>
              <w:t xml:space="preserve"> </w:t>
            </w:r>
            <w:r w:rsidR="00E26EE8" w:rsidRPr="009F036A">
              <w:rPr>
                <w:rFonts w:ascii="Book Antiqua" w:hAnsi="Book Antiqua" w:cs="Arial"/>
                <w:lang w:val="id-ID"/>
              </w:rPr>
              <w:t>persyaratan</w:t>
            </w:r>
            <w:r w:rsidR="00E26EE8" w:rsidRPr="009F036A">
              <w:rPr>
                <w:rFonts w:ascii="Book Antiqua" w:hAnsi="Book Antiqua" w:cs="Arial"/>
              </w:rPr>
              <w:t xml:space="preserve"> </w:t>
            </w:r>
            <w:r w:rsidR="00E26EE8" w:rsidRPr="009F036A">
              <w:rPr>
                <w:rFonts w:ascii="Book Antiqua" w:hAnsi="Book Antiqua" w:cs="Arial"/>
                <w:lang w:val="id-ID"/>
              </w:rPr>
              <w:t>organisasi/hukum/ etika.</w:t>
            </w:r>
          </w:p>
          <w:p w14:paraId="0C42E062" w14:textId="71D6C07D" w:rsidR="00E26EE8" w:rsidRPr="006101CB" w:rsidRDefault="00E26EE8" w:rsidP="00E26EE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Serahkan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126327">
              <w:rPr>
                <w:rFonts w:ascii="Book Antiqua" w:hAnsi="Book Antiqua" w:cs="Arial"/>
              </w:rPr>
              <w:t>r</w:t>
            </w:r>
            <w:r w:rsidRPr="006101CB">
              <w:rPr>
                <w:rFonts w:ascii="Book Antiqua" w:hAnsi="Book Antiqua" w:cs="Arial"/>
                <w:lang w:val="id-ID"/>
              </w:rPr>
              <w:t>ekomendasi tindak lanjut kepada orang yang relevan.</w:t>
            </w:r>
          </w:p>
          <w:p w14:paraId="752CF169" w14:textId="0537EDDB" w:rsidR="00E26EE8" w:rsidRPr="006101CB" w:rsidRDefault="00E26EE8" w:rsidP="00E26EE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Beritahu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35797">
              <w:rPr>
                <w:rFonts w:ascii="Book Antiqua" w:hAnsi="Book Antiqua" w:cs="Arial"/>
              </w:rPr>
              <w:t>p</w:t>
            </w:r>
            <w:r w:rsidRPr="006101CB">
              <w:rPr>
                <w:rFonts w:ascii="Book Antiqua" w:hAnsi="Book Antiqua" w:cs="Arial"/>
                <w:lang w:val="id-ID"/>
              </w:rPr>
              <w:t>ihak-pihak terkait lainnya tentang keputusan asesmen.</w:t>
            </w:r>
          </w:p>
          <w:p w14:paraId="68E0FD37" w14:textId="06E1E5A3" w:rsidR="00E26EE8" w:rsidRPr="006101CB" w:rsidRDefault="00E26EE8" w:rsidP="00E26EE8">
            <w:pPr>
              <w:pStyle w:val="BodyText"/>
              <w:spacing w:after="60"/>
              <w:ind w:left="360"/>
              <w:jc w:val="left"/>
              <w:rPr>
                <w:rFonts w:ascii="Book Antiqua" w:hAnsi="Book Antiqua" w:cs="Arial"/>
                <w:lang w:val="id-ID"/>
              </w:rPr>
            </w:pP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A5F11AE" w14:textId="77777777" w:rsidR="00E26EE8" w:rsidRPr="00960960" w:rsidRDefault="00E26EE8" w:rsidP="00E26EE8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5C22A" w14:textId="6213195B" w:rsidR="00E26EE8" w:rsidRPr="00AF1D51" w:rsidRDefault="00E26EE8" w:rsidP="00E26EE8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Formulir </w:t>
            </w:r>
            <w:proofErr w:type="spellStart"/>
            <w:r w:rsidR="008F56F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 w:rsidR="008F56F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8F56F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</w:r>
            <w:r w:rsidRPr="00E26EE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</w:t>
            </w: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FR.AK.0</w:t>
            </w:r>
            <w:r w:rsidR="0042749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5</w:t>
            </w:r>
            <w:r w:rsidRPr="00E26EE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86BD5F" w14:textId="77777777" w:rsidR="00E26EE8" w:rsidRPr="00960960" w:rsidRDefault="00E26EE8" w:rsidP="00E26EE8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B9F81" w14:textId="77777777" w:rsidR="00E26EE8" w:rsidRPr="00564F0B" w:rsidRDefault="00E26EE8" w:rsidP="00E26EE8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</w:tbl>
    <w:p w14:paraId="5879C978" w14:textId="175820E1" w:rsidR="006101CB" w:rsidRDefault="006101CB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  <w:r w:rsidRPr="00960960">
        <w:rPr>
          <w:rFonts w:ascii="Book Antiqua" w:hAnsi="Book Antiqua" w:cs="Arial"/>
          <w:b/>
          <w:kern w:val="24"/>
          <w:sz w:val="20"/>
          <w:szCs w:val="20"/>
        </w:rPr>
        <w:sym w:font="Symbol" w:char="00AF"/>
      </w:r>
    </w:p>
    <w:p w14:paraId="36003D1E" w14:textId="77777777" w:rsidR="006101CB" w:rsidRDefault="006101CB" w:rsidP="006101CB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tbl>
      <w:tblPr>
        <w:tblpPr w:leftFromText="180" w:rightFromText="180" w:vertAnchor="text" w:tblpX="-156" w:tblpY="1"/>
        <w:tblOverlap w:val="never"/>
        <w:tblW w:w="9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142"/>
        <w:gridCol w:w="1845"/>
        <w:gridCol w:w="142"/>
        <w:gridCol w:w="1693"/>
      </w:tblGrid>
      <w:tr w:rsidR="006101CB" w:rsidRPr="00960960" w14:paraId="75C42285" w14:textId="77777777" w:rsidTr="008E1667">
        <w:trPr>
          <w:trHeight w:val="199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2A40D" w14:textId="14A66D8B" w:rsidR="006101CB" w:rsidRDefault="006101CB" w:rsidP="006101CB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  <w:proofErr w:type="spellStart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Meninjau</w:t>
            </w:r>
            <w:proofErr w:type="spellEnd"/>
            <w:r w:rsidR="000277C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proses </w:t>
            </w:r>
            <w:proofErr w:type="spellStart"/>
            <w:r w:rsidRPr="006101CB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asesmen</w:t>
            </w:r>
            <w:proofErr w:type="spellEnd"/>
          </w:p>
          <w:p w14:paraId="42ECE647" w14:textId="77777777" w:rsidR="006101CB" w:rsidRDefault="006101CB" w:rsidP="006101CB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43DC4391" w14:textId="77777777" w:rsidR="006101CB" w:rsidRPr="00817B2B" w:rsidRDefault="006101CB" w:rsidP="008E1667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7B2B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7B2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6CA8B74" w14:textId="6AABF528" w:rsidR="006101CB" w:rsidRDefault="009F036A" w:rsidP="006101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Tinjau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A63741">
              <w:rPr>
                <w:rFonts w:ascii="Book Antiqua" w:hAnsi="Book Antiqua" w:cs="Arial"/>
              </w:rPr>
              <w:t>p</w:t>
            </w:r>
            <w:r w:rsidR="006101CB" w:rsidRPr="006101CB">
              <w:rPr>
                <w:rFonts w:ascii="Book Antiqua" w:hAnsi="Book Antiqua" w:cs="Arial"/>
                <w:lang w:val="id-ID"/>
              </w:rPr>
              <w:t>roses</w:t>
            </w:r>
            <w:r w:rsidR="006101CB">
              <w:rPr>
                <w:rFonts w:ascii="Book Antiqua" w:hAnsi="Book Antiqua" w:cs="Arial"/>
              </w:rPr>
              <w:t xml:space="preserve"> </w:t>
            </w:r>
            <w:r w:rsidR="006101CB" w:rsidRPr="006101CB">
              <w:rPr>
                <w:rFonts w:ascii="Book Antiqua" w:hAnsi="Book Antiqua" w:cs="Arial"/>
                <w:lang w:val="id-ID"/>
              </w:rPr>
              <w:t>asesmen</w:t>
            </w:r>
            <w:r w:rsidR="006101CB">
              <w:rPr>
                <w:rFonts w:ascii="Book Antiqua" w:hAnsi="Book Antiqua" w:cs="Arial"/>
              </w:rPr>
              <w:t xml:space="preserve"> </w:t>
            </w:r>
            <w:r w:rsidR="006101CB" w:rsidRPr="006101CB">
              <w:rPr>
                <w:rFonts w:ascii="Book Antiqua" w:hAnsi="Book Antiqua" w:cs="Arial"/>
                <w:lang w:val="id-ID"/>
              </w:rPr>
              <w:t>berdasarkan kriteria yang ada melalui konsultasi dengan orang yang relevan guna perbaikan dan perubahan pelaksanaan asesmen di masa datang.</w:t>
            </w:r>
          </w:p>
          <w:p w14:paraId="7BB46EEF" w14:textId="0EEF1DD0" w:rsidR="006101CB" w:rsidRDefault="009F036A" w:rsidP="006101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 w:rsidRPr="006101CB">
              <w:rPr>
                <w:rFonts w:ascii="Book Antiqua" w:hAnsi="Book Antiqua" w:cs="Arial"/>
                <w:lang w:val="id-ID"/>
              </w:rPr>
              <w:t xml:space="preserve">dokumentasi dan rekam </w:t>
            </w:r>
            <w:r w:rsidR="00484D7D">
              <w:rPr>
                <w:rFonts w:ascii="Book Antiqua" w:hAnsi="Book Antiqua" w:cs="Arial"/>
              </w:rPr>
              <w:t>t</w:t>
            </w:r>
            <w:r w:rsidR="006101CB" w:rsidRPr="006101CB">
              <w:rPr>
                <w:rFonts w:ascii="Book Antiqua" w:hAnsi="Book Antiqua" w:cs="Arial"/>
                <w:lang w:val="id-ID"/>
              </w:rPr>
              <w:t>injauan sesuai dengan kebijakan dan prosedur sistem asesmen yang relevan serta persyaratan organisasi/hukum/etika.</w:t>
            </w:r>
          </w:p>
          <w:p w14:paraId="78249A3F" w14:textId="5138A5E0" w:rsidR="006101CB" w:rsidRPr="006101CB" w:rsidRDefault="009F036A" w:rsidP="006101C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Gunakan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C4295">
              <w:rPr>
                <w:rFonts w:ascii="Book Antiqua" w:hAnsi="Book Antiqua" w:cs="Arial"/>
              </w:rPr>
              <w:t>k</w:t>
            </w:r>
            <w:r w:rsidR="006101CB" w:rsidRPr="006101CB">
              <w:rPr>
                <w:rFonts w:ascii="Book Antiqua" w:hAnsi="Book Antiqua" w:cs="Arial"/>
                <w:lang w:val="id-ID"/>
              </w:rPr>
              <w:t>eterampilan kematangan berfikir (refleksi)</w:t>
            </w:r>
            <w:r w:rsidR="003C4295">
              <w:rPr>
                <w:rFonts w:ascii="Book Antiqua" w:hAnsi="Book Antiqua" w:cs="Arial"/>
              </w:rPr>
              <w:t xml:space="preserve"> </w:t>
            </w:r>
            <w:r w:rsidR="006101CB" w:rsidRPr="006101CB">
              <w:rPr>
                <w:rFonts w:ascii="Book Antiqua" w:hAnsi="Book Antiqua" w:cs="Arial"/>
                <w:lang w:val="id-ID"/>
              </w:rPr>
              <w:t>secara</w:t>
            </w:r>
            <w:r w:rsidR="003C4295">
              <w:rPr>
                <w:rFonts w:ascii="Book Antiqua" w:hAnsi="Book Antiqua" w:cs="Arial"/>
              </w:rPr>
              <w:t xml:space="preserve"> </w:t>
            </w:r>
            <w:r w:rsidR="006101CB" w:rsidRPr="006101CB">
              <w:rPr>
                <w:rFonts w:ascii="Book Antiqua" w:hAnsi="Book Antiqua" w:cs="Arial"/>
                <w:lang w:val="id-ID"/>
              </w:rPr>
              <w:t>mandiri untuk meninjau dan mengevaluasi praktik asesmen.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F3E6018" w14:textId="77777777" w:rsidR="006101CB" w:rsidRPr="00960960" w:rsidRDefault="006101CB" w:rsidP="008E166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C1EEB" w14:textId="4ED34093" w:rsidR="006101CB" w:rsidRPr="0010211E" w:rsidRDefault="0010211E" w:rsidP="0010211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Formulir </w:t>
            </w:r>
            <w:proofErr w:type="spellStart"/>
            <w:r w:rsidR="00470B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Meninjau</w:t>
            </w:r>
            <w:proofErr w:type="spellEnd"/>
            <w:r w:rsidR="00470B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Proses </w:t>
            </w:r>
            <w:proofErr w:type="spellStart"/>
            <w:r w:rsidR="00470B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</w:r>
            <w:r w:rsidRPr="00E26EE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</w:t>
            </w:r>
            <w:r w:rsidRPr="00E21B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FR.AK.0</w:t>
            </w:r>
            <w:r w:rsidR="00470B11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6</w:t>
            </w:r>
            <w:r w:rsidRPr="00E26EE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22AF868" w14:textId="77777777" w:rsidR="006101CB" w:rsidRPr="00960960" w:rsidRDefault="006101CB" w:rsidP="008E166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88A238" w14:textId="77777777" w:rsidR="006101CB" w:rsidRPr="00564F0B" w:rsidRDefault="006101CB" w:rsidP="008E166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Asesor</w:t>
            </w:r>
            <w:proofErr w:type="spellEnd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564F0B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Kompetensi</w:t>
            </w:r>
            <w:proofErr w:type="spellEnd"/>
          </w:p>
        </w:tc>
      </w:tr>
    </w:tbl>
    <w:p w14:paraId="44742019" w14:textId="77777777" w:rsidR="006101CB" w:rsidRPr="00960960" w:rsidRDefault="006101CB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6101CB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C293E" w14:textId="77777777" w:rsidR="003C3EE2" w:rsidRDefault="003C3EE2" w:rsidP="00A93EF6">
      <w:pPr>
        <w:spacing w:after="0" w:line="240" w:lineRule="auto"/>
      </w:pPr>
      <w:r>
        <w:separator/>
      </w:r>
    </w:p>
  </w:endnote>
  <w:endnote w:type="continuationSeparator" w:id="0">
    <w:p w14:paraId="77174ACB" w14:textId="77777777" w:rsidR="003C3EE2" w:rsidRDefault="003C3EE2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4876F149" w:rsidR="0032485E" w:rsidRPr="00961EAD" w:rsidRDefault="002C58F8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  <w:r w:rsidR="0032485E"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266C0A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266C0A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266C0A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 w:rsidR="0032485E"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0281CE84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266C0A">
      <w:rPr>
        <w:rFonts w:ascii="Book Antiqua" w:hAnsi="Book Antiqua" w:cs="Arial"/>
        <w:sz w:val="20"/>
      </w:rPr>
      <w:t xml:space="preserve">Universitas </w:t>
    </w:r>
    <w:proofErr w:type="spellStart"/>
    <w:r w:rsidR="00266C0A">
      <w:rPr>
        <w:rFonts w:ascii="Book Antiqua" w:hAnsi="Book Antiqua" w:cs="Arial"/>
        <w:sz w:val="20"/>
      </w:rPr>
      <w:t>Mercu</w:t>
    </w:r>
    <w:proofErr w:type="spellEnd"/>
    <w:r w:rsidR="00266C0A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B976" w14:textId="77777777" w:rsidR="003C3EE2" w:rsidRDefault="003C3EE2" w:rsidP="00A93EF6">
      <w:pPr>
        <w:spacing w:after="0" w:line="240" w:lineRule="auto"/>
      </w:pPr>
      <w:r>
        <w:separator/>
      </w:r>
    </w:p>
  </w:footnote>
  <w:footnote w:type="continuationSeparator" w:id="0">
    <w:p w14:paraId="3277BFAC" w14:textId="77777777" w:rsidR="003C3EE2" w:rsidRDefault="003C3EE2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7AA89FD7" w:rsidR="00356E1B" w:rsidRPr="00A51AA7" w:rsidRDefault="00356E1B" w:rsidP="002C58F8">
          <w:pPr>
            <w:spacing w:after="0" w:line="240" w:lineRule="auto"/>
            <w:ind w:left="348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2C58F8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3208F23E" wp14:editId="1C42072C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0A27C92C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</w:t>
          </w:r>
          <w:r w:rsidR="005E1364">
            <w:rPr>
              <w:rFonts w:ascii="Book Antiqua" w:hAnsi="Book Antiqua" w:cs="Arial"/>
              <w:sz w:val="16"/>
              <w:szCs w:val="16"/>
              <w:lang w:val="en-US"/>
            </w:rPr>
            <w:t>6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266C0A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1CAB3EA3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266C0A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2C07244A" w:rsidR="00356E1B" w:rsidRPr="00890112" w:rsidRDefault="00817B2B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MELAKSANAKAN ASESMEN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B39C4"/>
    <w:multiLevelType w:val="hybridMultilevel"/>
    <w:tmpl w:val="9B160B7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73A3F"/>
    <w:multiLevelType w:val="hybridMultilevel"/>
    <w:tmpl w:val="680C2D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A5B02"/>
    <w:multiLevelType w:val="hybridMultilevel"/>
    <w:tmpl w:val="7098E7F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86188">
    <w:abstractNumId w:val="14"/>
  </w:num>
  <w:num w:numId="2" w16cid:durableId="1705133239">
    <w:abstractNumId w:val="11"/>
  </w:num>
  <w:num w:numId="3" w16cid:durableId="1896353197">
    <w:abstractNumId w:val="4"/>
  </w:num>
  <w:num w:numId="4" w16cid:durableId="288779559">
    <w:abstractNumId w:val="9"/>
  </w:num>
  <w:num w:numId="5" w16cid:durableId="724065876">
    <w:abstractNumId w:val="17"/>
  </w:num>
  <w:num w:numId="6" w16cid:durableId="1655403246">
    <w:abstractNumId w:val="8"/>
  </w:num>
  <w:num w:numId="7" w16cid:durableId="781850523">
    <w:abstractNumId w:val="5"/>
  </w:num>
  <w:num w:numId="8" w16cid:durableId="1252930448">
    <w:abstractNumId w:val="15"/>
  </w:num>
  <w:num w:numId="9" w16cid:durableId="1248073300">
    <w:abstractNumId w:val="16"/>
  </w:num>
  <w:num w:numId="10" w16cid:durableId="1924991440">
    <w:abstractNumId w:val="0"/>
  </w:num>
  <w:num w:numId="11" w16cid:durableId="708995694">
    <w:abstractNumId w:val="2"/>
  </w:num>
  <w:num w:numId="12" w16cid:durableId="1275093348">
    <w:abstractNumId w:val="10"/>
  </w:num>
  <w:num w:numId="13" w16cid:durableId="1741174087">
    <w:abstractNumId w:val="12"/>
  </w:num>
  <w:num w:numId="14" w16cid:durableId="1801537265">
    <w:abstractNumId w:val="7"/>
  </w:num>
  <w:num w:numId="15" w16cid:durableId="796333137">
    <w:abstractNumId w:val="3"/>
  </w:num>
  <w:num w:numId="16" w16cid:durableId="891963050">
    <w:abstractNumId w:val="1"/>
  </w:num>
  <w:num w:numId="17" w16cid:durableId="180901814">
    <w:abstractNumId w:val="13"/>
  </w:num>
  <w:num w:numId="18" w16cid:durableId="868227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277CC"/>
    <w:rsid w:val="000343B5"/>
    <w:rsid w:val="000407B3"/>
    <w:rsid w:val="00041E46"/>
    <w:rsid w:val="00054C26"/>
    <w:rsid w:val="00056100"/>
    <w:rsid w:val="00060AA6"/>
    <w:rsid w:val="000669B8"/>
    <w:rsid w:val="00083232"/>
    <w:rsid w:val="000B27CA"/>
    <w:rsid w:val="000B4EAD"/>
    <w:rsid w:val="000C003A"/>
    <w:rsid w:val="000C0320"/>
    <w:rsid w:val="000C5226"/>
    <w:rsid w:val="000C65A0"/>
    <w:rsid w:val="000D1EE1"/>
    <w:rsid w:val="000D2173"/>
    <w:rsid w:val="000D251B"/>
    <w:rsid w:val="000D6DED"/>
    <w:rsid w:val="000E7DB9"/>
    <w:rsid w:val="000F1CC5"/>
    <w:rsid w:val="0010211E"/>
    <w:rsid w:val="00105DB0"/>
    <w:rsid w:val="001166D1"/>
    <w:rsid w:val="00126327"/>
    <w:rsid w:val="00165CDA"/>
    <w:rsid w:val="00182C4E"/>
    <w:rsid w:val="001867A0"/>
    <w:rsid w:val="001957FA"/>
    <w:rsid w:val="00195A81"/>
    <w:rsid w:val="001B5304"/>
    <w:rsid w:val="001C0AA2"/>
    <w:rsid w:val="001C0FE4"/>
    <w:rsid w:val="001D2E56"/>
    <w:rsid w:val="001E3E3D"/>
    <w:rsid w:val="001E5FF9"/>
    <w:rsid w:val="001F0D27"/>
    <w:rsid w:val="001F73CB"/>
    <w:rsid w:val="00215B6C"/>
    <w:rsid w:val="00225CFD"/>
    <w:rsid w:val="00225DD9"/>
    <w:rsid w:val="00231341"/>
    <w:rsid w:val="00234963"/>
    <w:rsid w:val="002416F4"/>
    <w:rsid w:val="00242DA2"/>
    <w:rsid w:val="0025307A"/>
    <w:rsid w:val="00263B60"/>
    <w:rsid w:val="00266C0A"/>
    <w:rsid w:val="00277078"/>
    <w:rsid w:val="00277E8A"/>
    <w:rsid w:val="002800A2"/>
    <w:rsid w:val="002A0850"/>
    <w:rsid w:val="002B1359"/>
    <w:rsid w:val="002C29EE"/>
    <w:rsid w:val="002C58F8"/>
    <w:rsid w:val="002D22C0"/>
    <w:rsid w:val="002D4570"/>
    <w:rsid w:val="0030066D"/>
    <w:rsid w:val="003027B0"/>
    <w:rsid w:val="00306DC4"/>
    <w:rsid w:val="00314064"/>
    <w:rsid w:val="003235BA"/>
    <w:rsid w:val="0032485E"/>
    <w:rsid w:val="0032503D"/>
    <w:rsid w:val="0032691C"/>
    <w:rsid w:val="00327F6C"/>
    <w:rsid w:val="00334631"/>
    <w:rsid w:val="00337AF1"/>
    <w:rsid w:val="00337FD5"/>
    <w:rsid w:val="003414AD"/>
    <w:rsid w:val="00345AB1"/>
    <w:rsid w:val="0034624B"/>
    <w:rsid w:val="00346DB8"/>
    <w:rsid w:val="00350984"/>
    <w:rsid w:val="003560CD"/>
    <w:rsid w:val="00356281"/>
    <w:rsid w:val="00356E1B"/>
    <w:rsid w:val="0036056D"/>
    <w:rsid w:val="00362A69"/>
    <w:rsid w:val="00374A65"/>
    <w:rsid w:val="003816C0"/>
    <w:rsid w:val="00387306"/>
    <w:rsid w:val="00393657"/>
    <w:rsid w:val="00397B22"/>
    <w:rsid w:val="003A5C61"/>
    <w:rsid w:val="003B149D"/>
    <w:rsid w:val="003C3EE2"/>
    <w:rsid w:val="003C4295"/>
    <w:rsid w:val="003D2572"/>
    <w:rsid w:val="003D7A88"/>
    <w:rsid w:val="003E395B"/>
    <w:rsid w:val="0040621A"/>
    <w:rsid w:val="00410811"/>
    <w:rsid w:val="00410FE3"/>
    <w:rsid w:val="004218F8"/>
    <w:rsid w:val="0042749F"/>
    <w:rsid w:val="00431A93"/>
    <w:rsid w:val="00441D47"/>
    <w:rsid w:val="004447AB"/>
    <w:rsid w:val="004478EA"/>
    <w:rsid w:val="00460D73"/>
    <w:rsid w:val="00470B11"/>
    <w:rsid w:val="00473BE6"/>
    <w:rsid w:val="00484D7D"/>
    <w:rsid w:val="00485DE4"/>
    <w:rsid w:val="00496DEA"/>
    <w:rsid w:val="004A00AF"/>
    <w:rsid w:val="004C0D20"/>
    <w:rsid w:val="004C4FC4"/>
    <w:rsid w:val="004C708C"/>
    <w:rsid w:val="004E272A"/>
    <w:rsid w:val="004E5C46"/>
    <w:rsid w:val="004F2E6F"/>
    <w:rsid w:val="00506A62"/>
    <w:rsid w:val="0052647E"/>
    <w:rsid w:val="0053267C"/>
    <w:rsid w:val="00535F5D"/>
    <w:rsid w:val="005361EB"/>
    <w:rsid w:val="00545502"/>
    <w:rsid w:val="00551E4D"/>
    <w:rsid w:val="00557E5E"/>
    <w:rsid w:val="0056197C"/>
    <w:rsid w:val="00562B44"/>
    <w:rsid w:val="00563B80"/>
    <w:rsid w:val="00564F0B"/>
    <w:rsid w:val="005659DE"/>
    <w:rsid w:val="0057240A"/>
    <w:rsid w:val="00573DA0"/>
    <w:rsid w:val="00581DD3"/>
    <w:rsid w:val="0058256B"/>
    <w:rsid w:val="0058390E"/>
    <w:rsid w:val="0058565E"/>
    <w:rsid w:val="005A0D4E"/>
    <w:rsid w:val="005A4A65"/>
    <w:rsid w:val="005B7330"/>
    <w:rsid w:val="005D5D64"/>
    <w:rsid w:val="005E1364"/>
    <w:rsid w:val="006101CB"/>
    <w:rsid w:val="00611204"/>
    <w:rsid w:val="00613846"/>
    <w:rsid w:val="0066390F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D293C"/>
    <w:rsid w:val="006E4227"/>
    <w:rsid w:val="007073FE"/>
    <w:rsid w:val="00711DF5"/>
    <w:rsid w:val="007259D1"/>
    <w:rsid w:val="007427C6"/>
    <w:rsid w:val="00746D40"/>
    <w:rsid w:val="007606B6"/>
    <w:rsid w:val="007612B0"/>
    <w:rsid w:val="00766568"/>
    <w:rsid w:val="00793376"/>
    <w:rsid w:val="007D6ED3"/>
    <w:rsid w:val="007E7EDA"/>
    <w:rsid w:val="007F075A"/>
    <w:rsid w:val="00806DF0"/>
    <w:rsid w:val="00815553"/>
    <w:rsid w:val="00817B2B"/>
    <w:rsid w:val="00831AB4"/>
    <w:rsid w:val="00835797"/>
    <w:rsid w:val="008568E5"/>
    <w:rsid w:val="00860CEB"/>
    <w:rsid w:val="00865C2A"/>
    <w:rsid w:val="00874C09"/>
    <w:rsid w:val="00876D6B"/>
    <w:rsid w:val="00882F5E"/>
    <w:rsid w:val="00890112"/>
    <w:rsid w:val="008977BB"/>
    <w:rsid w:val="008A1D23"/>
    <w:rsid w:val="008A57C2"/>
    <w:rsid w:val="008A62B9"/>
    <w:rsid w:val="008B29E7"/>
    <w:rsid w:val="008C7530"/>
    <w:rsid w:val="008D465E"/>
    <w:rsid w:val="008F071D"/>
    <w:rsid w:val="008F56FD"/>
    <w:rsid w:val="00901CCB"/>
    <w:rsid w:val="00902355"/>
    <w:rsid w:val="009068D6"/>
    <w:rsid w:val="00920288"/>
    <w:rsid w:val="00932DFA"/>
    <w:rsid w:val="00952FD2"/>
    <w:rsid w:val="00960960"/>
    <w:rsid w:val="009615DF"/>
    <w:rsid w:val="00972886"/>
    <w:rsid w:val="009729B9"/>
    <w:rsid w:val="00974FBC"/>
    <w:rsid w:val="009831BB"/>
    <w:rsid w:val="0098736B"/>
    <w:rsid w:val="00994691"/>
    <w:rsid w:val="009A5DC4"/>
    <w:rsid w:val="009A7D46"/>
    <w:rsid w:val="009B2A69"/>
    <w:rsid w:val="009C5388"/>
    <w:rsid w:val="009D11F0"/>
    <w:rsid w:val="009E2A77"/>
    <w:rsid w:val="009F036A"/>
    <w:rsid w:val="00A02259"/>
    <w:rsid w:val="00A064FF"/>
    <w:rsid w:val="00A07BCE"/>
    <w:rsid w:val="00A155E8"/>
    <w:rsid w:val="00A2408C"/>
    <w:rsid w:val="00A27EB0"/>
    <w:rsid w:val="00A33CF9"/>
    <w:rsid w:val="00A34F20"/>
    <w:rsid w:val="00A37E57"/>
    <w:rsid w:val="00A47F6A"/>
    <w:rsid w:val="00A556D1"/>
    <w:rsid w:val="00A605B7"/>
    <w:rsid w:val="00A627C6"/>
    <w:rsid w:val="00A63741"/>
    <w:rsid w:val="00A63FBA"/>
    <w:rsid w:val="00A763AC"/>
    <w:rsid w:val="00A80DA7"/>
    <w:rsid w:val="00A81205"/>
    <w:rsid w:val="00A92314"/>
    <w:rsid w:val="00A93EF6"/>
    <w:rsid w:val="00AA0C39"/>
    <w:rsid w:val="00AA39EA"/>
    <w:rsid w:val="00AC250A"/>
    <w:rsid w:val="00AD2033"/>
    <w:rsid w:val="00AE64C6"/>
    <w:rsid w:val="00AF1D51"/>
    <w:rsid w:val="00B00237"/>
    <w:rsid w:val="00B222BD"/>
    <w:rsid w:val="00B46A5F"/>
    <w:rsid w:val="00B472A2"/>
    <w:rsid w:val="00B5096D"/>
    <w:rsid w:val="00B51AC0"/>
    <w:rsid w:val="00B5589A"/>
    <w:rsid w:val="00B70F6A"/>
    <w:rsid w:val="00B80F0B"/>
    <w:rsid w:val="00B907E5"/>
    <w:rsid w:val="00BB3A61"/>
    <w:rsid w:val="00BD62C9"/>
    <w:rsid w:val="00BD7452"/>
    <w:rsid w:val="00BF1FD1"/>
    <w:rsid w:val="00C11AC1"/>
    <w:rsid w:val="00C3372B"/>
    <w:rsid w:val="00C4223A"/>
    <w:rsid w:val="00C47CAD"/>
    <w:rsid w:val="00C52A72"/>
    <w:rsid w:val="00C53BD0"/>
    <w:rsid w:val="00C616BC"/>
    <w:rsid w:val="00C629F5"/>
    <w:rsid w:val="00C7467A"/>
    <w:rsid w:val="00C83837"/>
    <w:rsid w:val="00C857B4"/>
    <w:rsid w:val="00C86DB7"/>
    <w:rsid w:val="00C9267F"/>
    <w:rsid w:val="00CB6B19"/>
    <w:rsid w:val="00CC4F04"/>
    <w:rsid w:val="00CE23A8"/>
    <w:rsid w:val="00CE2EFA"/>
    <w:rsid w:val="00CE651C"/>
    <w:rsid w:val="00CF6B73"/>
    <w:rsid w:val="00D01293"/>
    <w:rsid w:val="00D10387"/>
    <w:rsid w:val="00D260A5"/>
    <w:rsid w:val="00D35423"/>
    <w:rsid w:val="00D37890"/>
    <w:rsid w:val="00D65E13"/>
    <w:rsid w:val="00D827A4"/>
    <w:rsid w:val="00D90F14"/>
    <w:rsid w:val="00D94585"/>
    <w:rsid w:val="00DB663C"/>
    <w:rsid w:val="00DC0CB6"/>
    <w:rsid w:val="00DC2DE2"/>
    <w:rsid w:val="00DD3F17"/>
    <w:rsid w:val="00DD41B6"/>
    <w:rsid w:val="00DD5627"/>
    <w:rsid w:val="00DE5C6B"/>
    <w:rsid w:val="00DF4B92"/>
    <w:rsid w:val="00DF792A"/>
    <w:rsid w:val="00E1420B"/>
    <w:rsid w:val="00E21B3E"/>
    <w:rsid w:val="00E26EE8"/>
    <w:rsid w:val="00E31D97"/>
    <w:rsid w:val="00E35896"/>
    <w:rsid w:val="00E37E17"/>
    <w:rsid w:val="00E43F4F"/>
    <w:rsid w:val="00E65E81"/>
    <w:rsid w:val="00E66D11"/>
    <w:rsid w:val="00E7295A"/>
    <w:rsid w:val="00E74808"/>
    <w:rsid w:val="00E83152"/>
    <w:rsid w:val="00E903CB"/>
    <w:rsid w:val="00E90C7B"/>
    <w:rsid w:val="00EA3BF5"/>
    <w:rsid w:val="00EA45A8"/>
    <w:rsid w:val="00EB1E46"/>
    <w:rsid w:val="00EB3BAE"/>
    <w:rsid w:val="00EB55F9"/>
    <w:rsid w:val="00EC44D8"/>
    <w:rsid w:val="00ED4ABA"/>
    <w:rsid w:val="00ED5BA8"/>
    <w:rsid w:val="00EF3879"/>
    <w:rsid w:val="00F02702"/>
    <w:rsid w:val="00F0319C"/>
    <w:rsid w:val="00F069CD"/>
    <w:rsid w:val="00F26972"/>
    <w:rsid w:val="00F2752E"/>
    <w:rsid w:val="00F27B98"/>
    <w:rsid w:val="00F37132"/>
    <w:rsid w:val="00F41863"/>
    <w:rsid w:val="00F6761B"/>
    <w:rsid w:val="00F71638"/>
    <w:rsid w:val="00F721C3"/>
    <w:rsid w:val="00F86D99"/>
    <w:rsid w:val="00F90932"/>
    <w:rsid w:val="00FA3A85"/>
    <w:rsid w:val="00FB3794"/>
    <w:rsid w:val="00FB4228"/>
    <w:rsid w:val="00FB4F86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2025-01-02T08:17:00Z</dcterms:created>
  <dcterms:modified xsi:type="dcterms:W3CDTF">2025-01-02T08:17:00Z</dcterms:modified>
</cp:coreProperties>
</file>